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C" w:rsidRDefault="00EA6ACC" w:rsidP="00EA6ACC">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EA6ACC" w:rsidRPr="00045F51" w:rsidRDefault="00EA6ACC" w:rsidP="00EA6ACC">
      <w:pPr>
        <w:widowControl w:val="0"/>
        <w:autoSpaceDE w:val="0"/>
        <w:autoSpaceDN w:val="0"/>
        <w:adjustRightInd w:val="0"/>
        <w:spacing w:after="0"/>
        <w:jc w:val="center"/>
        <w:rPr>
          <w:rFonts w:ascii="Times New Roman" w:hAnsi="Times New Roman"/>
          <w:b/>
        </w:rPr>
      </w:pP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EA6ACC" w:rsidRPr="00045F51" w:rsidRDefault="00CB016F" w:rsidP="00EA6ACC">
      <w:pPr>
        <w:spacing w:after="0"/>
        <w:jc w:val="center"/>
        <w:rPr>
          <w:rFonts w:ascii="Times New Roman" w:hAnsi="Times New Roman"/>
          <w:sz w:val="28"/>
          <w:szCs w:val="28"/>
        </w:rPr>
      </w:pPr>
      <w:r>
        <w:rPr>
          <w:rFonts w:ascii="Times New Roman" w:hAnsi="Times New Roman"/>
          <w:sz w:val="28"/>
          <w:szCs w:val="28"/>
        </w:rPr>
        <w:t>«ЗАЗЕР</w:t>
      </w:r>
      <w:r w:rsidR="00EA6ACC" w:rsidRPr="00045F51">
        <w:rPr>
          <w:rFonts w:ascii="Times New Roman" w:hAnsi="Times New Roman"/>
          <w:sz w:val="28"/>
          <w:szCs w:val="28"/>
        </w:rPr>
        <w:t>СКОЕ СЕЛЬСКОЕ ПОСЕЛЕНИЕ»</w:t>
      </w:r>
    </w:p>
    <w:p w:rsidR="00EA6ACC" w:rsidRPr="00045F51" w:rsidRDefault="00CB016F" w:rsidP="00EA6ACC">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EA6ACC" w:rsidRPr="00045F51">
        <w:rPr>
          <w:rFonts w:ascii="Times New Roman" w:hAnsi="Times New Roman"/>
          <w:b/>
          <w:sz w:val="28"/>
          <w:szCs w:val="28"/>
        </w:rPr>
        <w:t>СКОГО СЕЛЬСКОГО ПОСЕЛЕНИЯ</w:t>
      </w:r>
    </w:p>
    <w:p w:rsidR="00EA6ACC" w:rsidRPr="00045F51" w:rsidRDefault="00EA6ACC" w:rsidP="00EA6ACC">
      <w:pPr>
        <w:spacing w:after="0"/>
        <w:ind w:left="708" w:firstLine="708"/>
        <w:jc w:val="center"/>
        <w:rPr>
          <w:rFonts w:ascii="Times New Roman" w:hAnsi="Times New Roman"/>
          <w:sz w:val="24"/>
          <w:szCs w:val="24"/>
        </w:rPr>
      </w:pPr>
    </w:p>
    <w:p w:rsidR="00EA6ACC" w:rsidRPr="00045F51" w:rsidRDefault="00EA6ACC" w:rsidP="00EA6ACC">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EA6ACC" w:rsidRDefault="00EA6ACC" w:rsidP="00EA6ACC">
      <w:pPr>
        <w:jc w:val="center"/>
        <w:rPr>
          <w:b/>
          <w:sz w:val="24"/>
          <w:szCs w:val="24"/>
        </w:rPr>
      </w:pPr>
    </w:p>
    <w:p w:rsidR="00EA6ACC" w:rsidRPr="00045F51" w:rsidRDefault="00EA6ACC" w:rsidP="00EA6ACC">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CB016F">
        <w:rPr>
          <w:rStyle w:val="a5"/>
          <w:bCs w:val="0"/>
          <w:color w:val="000000"/>
          <w:sz w:val="28"/>
          <w:szCs w:val="28"/>
        </w:rPr>
        <w:t>х.Зазерский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CB016F">
        <w:rPr>
          <w:rFonts w:ascii="Times New Roman" w:hAnsi="Times New Roman"/>
          <w:sz w:val="28"/>
          <w:szCs w:val="28"/>
        </w:rPr>
        <w:t>Зазер</w:t>
      </w:r>
      <w:r w:rsidR="004D4D46">
        <w:rPr>
          <w:rFonts w:ascii="Times New Roman" w:hAnsi="Times New Roman"/>
          <w:sz w:val="28"/>
          <w:szCs w:val="28"/>
        </w:rPr>
        <w:t>ское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CB016F">
        <w:rPr>
          <w:rFonts w:ascii="Times New Roman" w:hAnsi="Times New Roman"/>
          <w:kern w:val="1"/>
          <w:sz w:val="28"/>
          <w:szCs w:val="28"/>
          <w:lang w:eastAsia="ar-SA"/>
        </w:rPr>
        <w:t>Зазер</w:t>
      </w:r>
      <w:r w:rsidR="007918FD" w:rsidRPr="004D4D46">
        <w:rPr>
          <w:rFonts w:ascii="Times New Roman" w:hAnsi="Times New Roman"/>
          <w:kern w:val="1"/>
          <w:sz w:val="28"/>
          <w:szCs w:val="28"/>
          <w:lang w:eastAsia="ar-SA"/>
        </w:rPr>
        <w:t>ского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A46746">
        <w:rPr>
          <w:rFonts w:ascii="Times New Roman" w:hAnsi="Times New Roman"/>
          <w:sz w:val="28"/>
          <w:szCs w:val="28"/>
          <w:shd w:val="clear" w:color="auto" w:fill="FFFFFF"/>
        </w:rPr>
        <w:t xml:space="preserve">от 29.12.2017 № 136 </w:t>
      </w:r>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EA6ACC">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D4D46" w:rsidRDefault="00CB016F" w:rsidP="00F43D1C">
      <w:pPr>
        <w:spacing w:after="0" w:line="240" w:lineRule="auto"/>
        <w:rPr>
          <w:rFonts w:ascii="Times New Roman" w:hAnsi="Times New Roman"/>
          <w:sz w:val="28"/>
          <w:szCs w:val="28"/>
        </w:rPr>
      </w:pPr>
      <w:r>
        <w:rPr>
          <w:rFonts w:ascii="Times New Roman" w:hAnsi="Times New Roman"/>
          <w:sz w:val="28"/>
          <w:szCs w:val="28"/>
        </w:rPr>
        <w:t>Зазер</w:t>
      </w:r>
      <w:r w:rsidR="004D4D46" w:rsidRPr="004D4D46">
        <w:rPr>
          <w:rFonts w:ascii="Times New Roman" w:hAnsi="Times New Roman"/>
          <w:sz w:val="28"/>
          <w:szCs w:val="28"/>
        </w:rPr>
        <w:t xml:space="preserve">ского  сельского поселения         </w:t>
      </w:r>
      <w:r w:rsidR="00EA6ACC">
        <w:rPr>
          <w:rFonts w:ascii="Times New Roman" w:hAnsi="Times New Roman"/>
          <w:sz w:val="28"/>
          <w:szCs w:val="28"/>
        </w:rPr>
        <w:t xml:space="preserve">                           </w:t>
      </w:r>
      <w:r w:rsidR="004D4D46" w:rsidRPr="004D4D46">
        <w:rPr>
          <w:rFonts w:ascii="Times New Roman" w:hAnsi="Times New Roman"/>
          <w:sz w:val="28"/>
          <w:szCs w:val="28"/>
        </w:rPr>
        <w:t xml:space="preserve">    </w:t>
      </w:r>
      <w:r>
        <w:rPr>
          <w:rFonts w:ascii="Times New Roman" w:hAnsi="Times New Roman"/>
          <w:sz w:val="28"/>
          <w:szCs w:val="28"/>
        </w:rPr>
        <w:t>Ю.И.Артеменко</w:t>
      </w: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к постановлению</w:t>
            </w:r>
            <w:r w:rsidR="00F43D1C" w:rsidRPr="004D4D46">
              <w:rPr>
                <w:rFonts w:ascii="Times New Roman" w:hAnsi="Times New Roman"/>
                <w:sz w:val="20"/>
                <w:szCs w:val="20"/>
                <w:lang w:eastAsia="en-US"/>
              </w:rPr>
              <w:t xml:space="preserve"> Администрации </w:t>
            </w:r>
          </w:p>
          <w:p w:rsidR="008B64AC" w:rsidRDefault="00CB016F"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Заз</w:t>
            </w:r>
            <w:r w:rsidR="00E06B84">
              <w:rPr>
                <w:rFonts w:ascii="Times New Roman" w:hAnsi="Times New Roman"/>
                <w:sz w:val="20"/>
                <w:szCs w:val="20"/>
                <w:lang w:eastAsia="en-US"/>
              </w:rPr>
              <w:t>е</w:t>
            </w:r>
            <w:r>
              <w:rPr>
                <w:rFonts w:ascii="Times New Roman" w:hAnsi="Times New Roman"/>
                <w:sz w:val="20"/>
                <w:szCs w:val="20"/>
                <w:lang w:eastAsia="en-US"/>
              </w:rPr>
              <w:t>р</w:t>
            </w:r>
            <w:r w:rsidR="00A5372D">
              <w:rPr>
                <w:rFonts w:ascii="Times New Roman" w:hAnsi="Times New Roman"/>
                <w:sz w:val="20"/>
                <w:szCs w:val="20"/>
                <w:lang w:eastAsia="en-US"/>
              </w:rPr>
              <w:t xml:space="preserve">ского </w:t>
            </w:r>
            <w:r w:rsidR="00F43D1C" w:rsidRPr="004D4D46">
              <w:rPr>
                <w:rFonts w:ascii="Times New Roman" w:hAnsi="Times New Roman"/>
                <w:sz w:val="20"/>
                <w:szCs w:val="20"/>
                <w:lang w:eastAsia="en-US"/>
              </w:rPr>
              <w:t>сельского поселения</w:t>
            </w:r>
          </w:p>
          <w:p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lastRenderedPageBreak/>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E06B84">
        <w:rPr>
          <w:rFonts w:ascii="Times New Roman" w:hAnsi="Times New Roman"/>
          <w:bCs/>
          <w:sz w:val="28"/>
          <w:szCs w:val="28"/>
          <w:lang w:bidi="ru-RU"/>
        </w:rPr>
        <w:t>Зазер</w:t>
      </w:r>
      <w:r w:rsidR="00F43D1C" w:rsidRPr="007261BE">
        <w:rPr>
          <w:rFonts w:ascii="Times New Roman" w:hAnsi="Times New Roman"/>
          <w:bCs/>
          <w:sz w:val="28"/>
          <w:szCs w:val="28"/>
          <w:lang w:bidi="ru-RU"/>
        </w:rPr>
        <w:t xml:space="preserve">ского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3) письменно, в том числе посредством электронной почты, факсимильной </w:t>
      </w:r>
      <w:r w:rsidRPr="007261BE">
        <w:rPr>
          <w:rFonts w:ascii="Times New Roman" w:hAnsi="Times New Roman"/>
          <w:sz w:val="28"/>
          <w:szCs w:val="28"/>
          <w:lang w:bidi="ru-RU"/>
        </w:rPr>
        <w:lastRenderedPageBreak/>
        <w:t>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EA6ACC" w:rsidRPr="004172BA">
        <w:rPr>
          <w:rFonts w:ascii="Times New Roman" w:hAnsi="Times New Roman"/>
          <w:color w:val="000000"/>
          <w:sz w:val="28"/>
          <w:szCs w:val="28"/>
        </w:rPr>
        <w:t xml:space="preserve">http:// </w:t>
      </w:r>
      <w:r w:rsidR="00EA6ACC" w:rsidRPr="008E00CC">
        <w:rPr>
          <w:rFonts w:ascii="Times New Roman" w:hAnsi="Times New Roman"/>
          <w:sz w:val="28"/>
          <w:szCs w:val="28"/>
          <w:lang w:val="en-US"/>
        </w:rPr>
        <w:t>www</w:t>
      </w:r>
      <w:r w:rsidR="00EA6ACC" w:rsidRPr="008E00CC">
        <w:rPr>
          <w:rFonts w:ascii="Times New Roman" w:hAnsi="Times New Roman"/>
          <w:sz w:val="28"/>
          <w:szCs w:val="28"/>
        </w:rPr>
        <w:t>.</w:t>
      </w:r>
      <w:proofErr w:type="spellStart"/>
      <w:r w:rsidR="00E06B84">
        <w:rPr>
          <w:rFonts w:ascii="Times New Roman" w:hAnsi="Times New Roman"/>
          <w:sz w:val="28"/>
          <w:szCs w:val="28"/>
          <w:lang w:val="en-US"/>
        </w:rPr>
        <w:t>zazerskoeadm</w:t>
      </w:r>
      <w:proofErr w:type="spellEnd"/>
      <w:r w:rsidR="00EA6ACC" w:rsidRPr="008E00CC">
        <w:rPr>
          <w:rFonts w:ascii="Times New Roman" w:hAnsi="Times New Roman"/>
          <w:sz w:val="28"/>
          <w:szCs w:val="28"/>
        </w:rPr>
        <w:t>.</w:t>
      </w:r>
      <w:proofErr w:type="spellStart"/>
      <w:r w:rsidR="00EA6ACC" w:rsidRPr="008E00CC">
        <w:rPr>
          <w:rFonts w:ascii="Times New Roman" w:hAnsi="Times New Roman"/>
          <w:sz w:val="28"/>
          <w:szCs w:val="28"/>
          <w:lang w:val="en-US"/>
        </w:rPr>
        <w:t>ru</w:t>
      </w:r>
      <w:proofErr w:type="spellEnd"/>
      <w:r w:rsidR="00EA6ACC" w:rsidRPr="008E00CC">
        <w:rPr>
          <w:rFonts w:ascii="Times New Roman" w:hAnsi="Times New Roman"/>
          <w:sz w:val="28"/>
          <w:szCs w:val="28"/>
        </w:rPr>
        <w:t>.</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Продолжительность информирования по телефону не должна превышать 10 </w:t>
      </w:r>
      <w:r w:rsidRPr="007261BE">
        <w:rPr>
          <w:rFonts w:ascii="Times New Roman" w:hAnsi="Times New Roman"/>
          <w:sz w:val="28"/>
          <w:szCs w:val="28"/>
          <w:lang w:bidi="ru-RU"/>
        </w:rPr>
        <w:lastRenderedPageBreak/>
        <w:t>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261BE">
        <w:rPr>
          <w:rFonts w:ascii="Times New Roman" w:hAnsi="Times New Roman"/>
          <w:sz w:val="28"/>
          <w:szCs w:val="28"/>
          <w:lang w:bidi="ru-RU"/>
        </w:rPr>
        <w:t>автоинформатора</w:t>
      </w:r>
      <w:proofErr w:type="spellEnd"/>
      <w:r w:rsidRPr="007261BE">
        <w:rPr>
          <w:rFonts w:ascii="Times New Roman" w:hAnsi="Times New Roman"/>
          <w:sz w:val="28"/>
          <w:szCs w:val="28"/>
          <w:lang w:bidi="ru-RU"/>
        </w:rPr>
        <w:t xml:space="preserve">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lastRenderedPageBreak/>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E06B84" w:rsidRPr="00E06B84">
        <w:rPr>
          <w:rFonts w:ascii="Times New Roman" w:hAnsi="Times New Roman"/>
          <w:sz w:val="28"/>
          <w:szCs w:val="28"/>
        </w:rPr>
        <w:t>Зазер</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Нормативные правовые акты, регулирующие предоставление </w:t>
      </w:r>
      <w:r w:rsidRPr="007261BE">
        <w:lastRenderedPageBreak/>
        <w:t>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sidRPr="007261BE">
        <w:rPr>
          <w:rFonts w:ascii="Times New Roman" w:hAnsi="Times New Roman"/>
          <w:sz w:val="28"/>
          <w:szCs w:val="28"/>
        </w:rPr>
        <w:lastRenderedPageBreak/>
        <w:t>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7261BE">
        <w:rPr>
          <w:rFonts w:ascii="Times New Roman" w:hAnsi="Times New Roman"/>
          <w:sz w:val="28"/>
          <w:szCs w:val="28"/>
          <w:lang w:bidi="ru-RU"/>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7261BE">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261BE">
        <w:rPr>
          <w:rFonts w:ascii="Times New Roman" w:hAnsi="Times New Roman"/>
          <w:sz w:val="28"/>
          <w:szCs w:val="28"/>
        </w:rPr>
        <w:lastRenderedPageBreak/>
        <w:t>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Порядок, размер и основания взимания платы за предоставление услуг, </w:t>
      </w:r>
      <w:r w:rsidRPr="007261BE">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261BE">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и к муниципальной услуге с </w:t>
      </w:r>
      <w:r w:rsidRPr="007261BE">
        <w:rPr>
          <w:rFonts w:ascii="Times New Roman" w:hAnsi="Times New Roman"/>
          <w:sz w:val="28"/>
          <w:szCs w:val="28"/>
        </w:rPr>
        <w:lastRenderedPageBreak/>
        <w:t>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7261BE">
        <w:rPr>
          <w:rFonts w:ascii="Times New Roman" w:hAnsi="Times New Roman"/>
          <w:sz w:val="28"/>
          <w:szCs w:val="28"/>
        </w:rPr>
        <w:lastRenderedPageBreak/>
        <w:t>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w:t>
      </w:r>
      <w:r w:rsidRPr="007261BE">
        <w:rPr>
          <w:rFonts w:ascii="Times New Roman" w:hAnsi="Times New Roman"/>
          <w:sz w:val="28"/>
          <w:szCs w:val="28"/>
        </w:rPr>
        <w:lastRenderedPageBreak/>
        <w:t xml:space="preserve">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w:t>
      </w:r>
      <w:r w:rsidR="00FD4E05" w:rsidRPr="007261BE">
        <w:rPr>
          <w:rFonts w:ascii="Times New Roman" w:hAnsi="Times New Roman"/>
          <w:sz w:val="28"/>
          <w:szCs w:val="28"/>
        </w:rPr>
        <w:lastRenderedPageBreak/>
        <w:t xml:space="preserve">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261BE">
        <w:rPr>
          <w:rFonts w:ascii="Times New Roman" w:hAnsi="Times New Roman"/>
          <w:sz w:val="28"/>
          <w:szCs w:val="28"/>
        </w:rPr>
        <w:t>д</w:t>
      </w:r>
      <w:proofErr w:type="spellEnd"/>
      <w:r w:rsidRPr="007261BE">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261BE">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w:t>
      </w:r>
      <w:r w:rsidRPr="007261BE">
        <w:rPr>
          <w:rFonts w:ascii="Times New Roman" w:hAnsi="Times New Roman"/>
          <w:sz w:val="28"/>
          <w:szCs w:val="28"/>
        </w:rPr>
        <w:lastRenderedPageBreak/>
        <w:t>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 xml:space="preserve">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обращения граждан и юридических лиц на нарушения законодательства, в том </w:t>
      </w:r>
      <w:r w:rsidRPr="007261BE">
        <w:rPr>
          <w:rFonts w:ascii="Times New Roman" w:hAnsi="Times New Roman"/>
          <w:sz w:val="28"/>
          <w:szCs w:val="28"/>
        </w:rPr>
        <w:lastRenderedPageBreak/>
        <w:t>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E06B84">
        <w:rPr>
          <w:rFonts w:ascii="Times New Roman" w:hAnsi="Times New Roman"/>
          <w:sz w:val="28"/>
          <w:szCs w:val="28"/>
        </w:rPr>
        <w:t>Зазер</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2"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5"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8) нарушение срока или порядка выдачи документов по результатам </w:t>
      </w:r>
      <w:r w:rsidRPr="007261BE">
        <w:rPr>
          <w:rFonts w:ascii="Times New Roman" w:hAnsi="Times New Roman"/>
          <w:sz w:val="28"/>
          <w:szCs w:val="28"/>
        </w:rPr>
        <w:lastRenderedPageBreak/>
        <w:t>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5.3. По результатам рассмотрения жалобы принимается одно из следующих </w:t>
      </w:r>
      <w:r w:rsidRPr="007261BE">
        <w:rPr>
          <w:rFonts w:ascii="Times New Roman" w:hAnsi="Times New Roman"/>
          <w:sz w:val="28"/>
          <w:szCs w:val="28"/>
        </w:rPr>
        <w:lastRenderedPageBreak/>
        <w:t>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261BE">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261BE">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запрашивает согласие заявителя на участие в </w:t>
      </w:r>
      <w:proofErr w:type="spellStart"/>
      <w:r w:rsidRPr="007261BE">
        <w:rPr>
          <w:rFonts w:ascii="Times New Roman" w:hAnsi="Times New Roman"/>
          <w:sz w:val="28"/>
          <w:szCs w:val="28"/>
        </w:rPr>
        <w:t>смс-опросе</w:t>
      </w:r>
      <w:proofErr w:type="spellEnd"/>
      <w:r w:rsidRPr="007261BE">
        <w:rPr>
          <w:rFonts w:ascii="Times New Roman" w:hAnsi="Times New Roman"/>
          <w:sz w:val="28"/>
          <w:szCs w:val="28"/>
        </w:rPr>
        <w:t xml:space="preserve">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6F" w:rsidRDefault="00CB016F" w:rsidP="00F717EA">
      <w:pPr>
        <w:spacing w:after="0" w:line="240" w:lineRule="auto"/>
      </w:pPr>
      <w:r>
        <w:separator/>
      </w:r>
    </w:p>
  </w:endnote>
  <w:endnote w:type="continuationSeparator" w:id="0">
    <w:p w:rsidR="00CB016F" w:rsidRDefault="00CB01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6F" w:rsidRDefault="00CB016F" w:rsidP="00F717EA">
      <w:pPr>
        <w:spacing w:after="0" w:line="240" w:lineRule="auto"/>
      </w:pPr>
      <w:r>
        <w:separator/>
      </w:r>
    </w:p>
  </w:footnote>
  <w:footnote w:type="continuationSeparator" w:id="0">
    <w:p w:rsidR="00CB016F" w:rsidRDefault="00CB016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E6AC7"/>
    <w:rsid w:val="001F5611"/>
    <w:rsid w:val="002013DE"/>
    <w:rsid w:val="0020210B"/>
    <w:rsid w:val="00202B49"/>
    <w:rsid w:val="00211535"/>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11719"/>
    <w:rsid w:val="00632D8A"/>
    <w:rsid w:val="0063678F"/>
    <w:rsid w:val="0065325E"/>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B6BA3"/>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14C1D"/>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46746"/>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16F"/>
    <w:rsid w:val="00CB0A10"/>
    <w:rsid w:val="00CD0C8B"/>
    <w:rsid w:val="00CE36C7"/>
    <w:rsid w:val="00CE59CB"/>
    <w:rsid w:val="00CE6066"/>
    <w:rsid w:val="00D03AAE"/>
    <w:rsid w:val="00D06372"/>
    <w:rsid w:val="00D12CA0"/>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B84"/>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8935</Words>
  <Characters>73065</Characters>
  <Application>Microsoft Office Word</Application>
  <DocSecurity>0</DocSecurity>
  <Lines>608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2022-11-02T09:32:00Z</dcterms:created>
  <dcterms:modified xsi:type="dcterms:W3CDTF">2022-11-08T09:21:00Z</dcterms:modified>
</cp:coreProperties>
</file>